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94" w14:textId="17FBFAFC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>Sukladno članku 19. Zakona o službenicima i namještenicima u lokalnoj i područnoj (regionalnoj) samoupravi (</w:t>
      </w:r>
      <w:r w:rsidR="00622E3F" w:rsidRPr="00622E3F">
        <w:rPr>
          <w:iCs/>
          <w:sz w:val="22"/>
          <w:szCs w:val="22"/>
        </w:rPr>
        <w:t>„Narodne novine“, broj 86/08., 61/11., 04/18. i 112/19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End w:id="0"/>
      <w:r w:rsidR="00664E51">
        <w:rPr>
          <w:iCs/>
          <w:sz w:val="22"/>
          <w:szCs w:val="22"/>
        </w:rPr>
        <w:t>G</w:t>
      </w:r>
      <w:r w:rsidR="00A96BBE">
        <w:rPr>
          <w:iCs/>
          <w:sz w:val="22"/>
          <w:szCs w:val="22"/>
        </w:rPr>
        <w:t xml:space="preserve">radonačelnik </w:t>
      </w:r>
      <w:r w:rsidR="00D525F4" w:rsidRPr="00D525F4">
        <w:rPr>
          <w:iCs/>
          <w:sz w:val="22"/>
          <w:szCs w:val="22"/>
        </w:rPr>
        <w:t xml:space="preserve">Grada Čazme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ao</w:t>
      </w:r>
      <w:r w:rsidRPr="00E5318C">
        <w:rPr>
          <w:sz w:val="22"/>
          <w:szCs w:val="22"/>
        </w:rPr>
        <w:t xml:space="preserve"> je </w:t>
      </w:r>
      <w:r w:rsidR="004C736C" w:rsidRPr="00E5318C">
        <w:rPr>
          <w:sz w:val="22"/>
          <w:szCs w:val="22"/>
        </w:rPr>
        <w:t>Natječaj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10255B2A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u </w:t>
      </w:r>
      <w:r w:rsidR="004C736C" w:rsidRPr="00E5318C">
        <w:rPr>
          <w:b/>
          <w:sz w:val="22"/>
          <w:szCs w:val="22"/>
          <w:u w:val="single"/>
        </w:rPr>
        <w:t>„Narodnim novinama“</w:t>
      </w:r>
      <w:r w:rsidRPr="00E5318C">
        <w:rPr>
          <w:b/>
          <w:sz w:val="22"/>
          <w:szCs w:val="22"/>
          <w:u w:val="single"/>
        </w:rPr>
        <w:t xml:space="preserve"> </w:t>
      </w:r>
      <w:r w:rsidR="00026931" w:rsidRPr="007F0A4E">
        <w:rPr>
          <w:b/>
          <w:sz w:val="22"/>
          <w:szCs w:val="22"/>
          <w:u w:val="single"/>
        </w:rPr>
        <w:t>broj</w:t>
      </w:r>
      <w:r w:rsidR="004C40E3">
        <w:rPr>
          <w:b/>
          <w:sz w:val="22"/>
          <w:szCs w:val="22"/>
          <w:u w:val="single"/>
        </w:rPr>
        <w:t xml:space="preserve"> </w:t>
      </w:r>
      <w:r w:rsidR="007A2E0C">
        <w:rPr>
          <w:b/>
          <w:sz w:val="22"/>
          <w:szCs w:val="22"/>
          <w:u w:val="single"/>
        </w:rPr>
        <w:t>12</w:t>
      </w:r>
      <w:r w:rsidR="004C40E3">
        <w:rPr>
          <w:b/>
          <w:sz w:val="22"/>
          <w:szCs w:val="22"/>
          <w:u w:val="single"/>
        </w:rPr>
        <w:t>/202</w:t>
      </w:r>
      <w:r w:rsidR="007A2E0C">
        <w:rPr>
          <w:b/>
          <w:sz w:val="22"/>
          <w:szCs w:val="22"/>
          <w:u w:val="single"/>
        </w:rPr>
        <w:t>5</w:t>
      </w:r>
      <w:r w:rsidR="004C40E3">
        <w:rPr>
          <w:b/>
          <w:sz w:val="22"/>
          <w:szCs w:val="22"/>
          <w:u w:val="single"/>
        </w:rPr>
        <w:t xml:space="preserve"> od</w:t>
      </w:r>
      <w:r w:rsidR="008A0A52" w:rsidRPr="007F0A4E">
        <w:rPr>
          <w:b/>
          <w:sz w:val="22"/>
          <w:szCs w:val="22"/>
          <w:u w:val="single"/>
        </w:rPr>
        <w:t xml:space="preserve"> </w:t>
      </w:r>
      <w:r w:rsidR="007A2E0C">
        <w:rPr>
          <w:b/>
          <w:sz w:val="22"/>
          <w:szCs w:val="22"/>
          <w:u w:val="single"/>
        </w:rPr>
        <w:t>24</w:t>
      </w:r>
      <w:r w:rsidR="00026931" w:rsidRPr="0049453B">
        <w:rPr>
          <w:b/>
          <w:sz w:val="22"/>
          <w:szCs w:val="22"/>
          <w:u w:val="single"/>
        </w:rPr>
        <w:t>.</w:t>
      </w:r>
      <w:r w:rsidRPr="0049453B">
        <w:rPr>
          <w:b/>
          <w:sz w:val="22"/>
          <w:szCs w:val="22"/>
          <w:u w:val="single"/>
        </w:rPr>
        <w:t xml:space="preserve"> </w:t>
      </w:r>
      <w:r w:rsidR="007A2E0C">
        <w:rPr>
          <w:b/>
          <w:sz w:val="22"/>
          <w:szCs w:val="22"/>
          <w:u w:val="single"/>
        </w:rPr>
        <w:t>siječnja</w:t>
      </w:r>
      <w:r w:rsidR="00276478" w:rsidRPr="0049453B">
        <w:rPr>
          <w:b/>
          <w:sz w:val="22"/>
          <w:szCs w:val="22"/>
          <w:u w:val="single"/>
        </w:rPr>
        <w:t xml:space="preserve"> 202</w:t>
      </w:r>
      <w:r w:rsidR="007A2E0C">
        <w:rPr>
          <w:b/>
          <w:sz w:val="22"/>
          <w:szCs w:val="22"/>
          <w:u w:val="single"/>
        </w:rPr>
        <w:t>5</w:t>
      </w:r>
      <w:r w:rsidR="00802EEB" w:rsidRPr="0049453B">
        <w:rPr>
          <w:b/>
          <w:sz w:val="22"/>
          <w:szCs w:val="22"/>
          <w:u w:val="single"/>
        </w:rPr>
        <w:t>.</w:t>
      </w:r>
      <w:r w:rsidRPr="00E5318C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26E15C53" w14:textId="050A25F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/>
          <w:sz w:val="22"/>
          <w:szCs w:val="22"/>
        </w:rPr>
        <w:t>za</w:t>
      </w:r>
      <w:r w:rsidR="00A96BBE" w:rsidRPr="00A96BBE">
        <w:rPr>
          <w:iCs/>
          <w:sz w:val="24"/>
          <w:szCs w:val="24"/>
        </w:rPr>
        <w:t xml:space="preserve"> </w:t>
      </w:r>
      <w:r w:rsidR="00A96BBE" w:rsidRPr="00A96BBE">
        <w:rPr>
          <w:b/>
          <w:iCs/>
          <w:sz w:val="22"/>
          <w:szCs w:val="22"/>
        </w:rPr>
        <w:t xml:space="preserve">imenovanje pročelnika/ice </w:t>
      </w:r>
      <w:r w:rsidR="005C66A6" w:rsidRPr="005C66A6">
        <w:rPr>
          <w:rFonts w:eastAsia="Calibri"/>
          <w:b/>
          <w:bCs/>
          <w:iCs/>
          <w:sz w:val="24"/>
          <w:szCs w:val="24"/>
        </w:rPr>
        <w:t>Upravnog odjela za proračun, komunalno gospodarstvo, gospodarstvo, zaštitu okoliša i ekologiju Grada Čazme</w:t>
      </w:r>
      <w:r w:rsidR="00A96BBE">
        <w:rPr>
          <w:b/>
          <w:iCs/>
          <w:sz w:val="22"/>
          <w:szCs w:val="22"/>
        </w:rPr>
        <w:t xml:space="preserve"> </w:t>
      </w:r>
      <w:r w:rsidRPr="00D525F4">
        <w:rPr>
          <w:bCs/>
          <w:sz w:val="22"/>
          <w:szCs w:val="22"/>
        </w:rPr>
        <w:t xml:space="preserve">– jedan izvršitelj/ica, </w:t>
      </w:r>
      <w:r w:rsidRPr="00D525F4">
        <w:rPr>
          <w:sz w:val="22"/>
          <w:szCs w:val="22"/>
        </w:rPr>
        <w:t xml:space="preserve">na neodređeno vrijeme, </w:t>
      </w:r>
      <w:r w:rsidRPr="00D525F4">
        <w:rPr>
          <w:bCs/>
          <w:sz w:val="22"/>
          <w:szCs w:val="22"/>
        </w:rPr>
        <w:t>uz obavezni probni rad u trajanju od tri mjeseca, mjesto rada</w:t>
      </w:r>
      <w:r>
        <w:rPr>
          <w:bCs/>
          <w:sz w:val="22"/>
          <w:szCs w:val="22"/>
        </w:rPr>
        <w:t xml:space="preserve">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664E51" w:rsidRDefault="00D525F4" w:rsidP="00D525F4">
      <w:pPr>
        <w:ind w:firstLine="284"/>
        <w:jc w:val="both"/>
        <w:rPr>
          <w:bCs/>
          <w:sz w:val="22"/>
          <w:szCs w:val="22"/>
        </w:rPr>
      </w:pPr>
      <w:r w:rsidRPr="00664E51">
        <w:rPr>
          <w:bCs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6C2B5C95" w14:textId="494D9567" w:rsid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  <w:u w:val="single"/>
        </w:rPr>
        <w:t xml:space="preserve">Opis poslova radnog mjesta </w:t>
      </w:r>
      <w:r w:rsidRPr="00D525F4">
        <w:rPr>
          <w:b/>
          <w:sz w:val="22"/>
          <w:szCs w:val="22"/>
        </w:rPr>
        <w:t xml:space="preserve"> </w:t>
      </w:r>
    </w:p>
    <w:p w14:paraId="538FABF7" w14:textId="6D813795" w:rsidR="005C66A6" w:rsidRPr="00622E3F" w:rsidRDefault="005C66A6" w:rsidP="005C66A6">
      <w:pPr>
        <w:pStyle w:val="Odlomakpopisa"/>
        <w:numPr>
          <w:ilvl w:val="0"/>
          <w:numId w:val="22"/>
        </w:numPr>
        <w:spacing w:line="276" w:lineRule="auto"/>
        <w:jc w:val="both"/>
        <w:rPr>
          <w:sz w:val="22"/>
          <w:szCs w:val="18"/>
        </w:rPr>
      </w:pPr>
      <w:r w:rsidRPr="00622E3F">
        <w:rPr>
          <w:sz w:val="22"/>
          <w:szCs w:val="18"/>
        </w:rPr>
        <w:t xml:space="preserve">upravlja radom Upravnog odjela u skladu sa zakonom i drugim propisima, raspoređuje zadatke i poslove i daje upute za rad, prati zakone, podzakonske akte i ostale propise i daje stručna mišljenja i savjete iz područja primjene zakona kojima se uređuje ustrojstvo i nadležnost financiranja jedinica lokalne samouprave, komunalnog gospodarstva, prostornog planiranja i gradnje te zaštite okoliša i ekologije. Izrađuje prijedloge akata iz djelokruga upravnog odjela i vodi brigu o usklađenosti tih akata sa zakonom, podzakonskim aktima i Statutom. Prati i sudjeluje u izradi prijedloga Proračuna te projekcija za dvogodišnje razdoblje, izmjena i dopuna Proračuna, polugodišnjeg i godišnjeg izvještaja o izvršenju Proračuna,  sudjeluje u izradi uputa za izradu prijedloga Proračuna i financijskih planova, izrađuje kvartalne i godišnje te konsolidirana financijska izvješća, razmatra prijedloge i vrši usklađivanja financijskih planova proračunskih korisnika sa procijenjenim prihodima i primicima, analizira izvještaje o izvršenju Proračuna, izvršenje prihoda i rashoda te inicira i predlaže nacrt prijedloga Izmjena i dopuna Proračuna. Koordinira i po potrebni sudjeluje u prijavama na natječaje na državne i inozemne fondove, ministarstva i druge institucije, predlaže i sudjeluje u pripremi strategijskih odluka za razvoj Grada Čazme, kreira politiku gospodarskih djelatnosti Grada Čazme, analizira i prati stanje i kretanje gospodarstva, obavlja i druge poslove po nalogu Gradonačelnika </w:t>
      </w:r>
    </w:p>
    <w:p w14:paraId="49C4F8E6" w14:textId="46A42339" w:rsidR="005C66A6" w:rsidRPr="00622E3F" w:rsidRDefault="005C66A6" w:rsidP="005C66A6">
      <w:pPr>
        <w:pStyle w:val="Odlomakpopisa"/>
        <w:numPr>
          <w:ilvl w:val="0"/>
          <w:numId w:val="22"/>
        </w:numPr>
        <w:spacing w:line="276" w:lineRule="auto"/>
        <w:jc w:val="both"/>
        <w:rPr>
          <w:sz w:val="22"/>
          <w:szCs w:val="18"/>
        </w:rPr>
      </w:pPr>
      <w:r w:rsidRPr="00622E3F">
        <w:rPr>
          <w:sz w:val="22"/>
          <w:szCs w:val="18"/>
        </w:rPr>
        <w:t xml:space="preserve">prati realizaciju ugovora o obavljanju određenih usluga u području komunalnih djelatnosti, prati rad gradskih komunalnih trgovačkih društava iz područja komunalnog gospodarstva, prati i koordinira poslove komunalnog redarstva, sudjeluje u pripremi dokumentacije za nadmetanje u postupcima javne nabave </w:t>
      </w:r>
    </w:p>
    <w:p w14:paraId="248D650D" w14:textId="484E237D" w:rsidR="005C66A6" w:rsidRPr="00622E3F" w:rsidRDefault="005C66A6" w:rsidP="005C66A6">
      <w:pPr>
        <w:pStyle w:val="Odlomakpopisa"/>
        <w:numPr>
          <w:ilvl w:val="0"/>
          <w:numId w:val="22"/>
        </w:numPr>
        <w:spacing w:line="276" w:lineRule="auto"/>
        <w:jc w:val="both"/>
        <w:rPr>
          <w:sz w:val="22"/>
          <w:szCs w:val="18"/>
        </w:rPr>
      </w:pPr>
      <w:r w:rsidRPr="00622E3F">
        <w:rPr>
          <w:sz w:val="22"/>
          <w:szCs w:val="18"/>
        </w:rPr>
        <w:t xml:space="preserve">rukovodi tehničko-investicijskim poslovima, izrađuje projektne zadatke za izradu tehničke dokumentacije i sudjeluje u izradi tehničke dokumentacije za izgradnju objekata komunalne infrastrukture, radi na ishođenju posebnih uvjeta, lokacijskih dozvola, potvrda glavnih projekata i građevinskih dozvola za objekte komunalne infrastrukture, vodi upravni postupak i rješava u upravnim stvarima iz svoje nadležnosti </w:t>
      </w:r>
    </w:p>
    <w:p w14:paraId="5F6A60DD" w14:textId="17CD2DA3" w:rsidR="005C66A6" w:rsidRPr="00622E3F" w:rsidRDefault="005C66A6" w:rsidP="005C66A6">
      <w:pPr>
        <w:pStyle w:val="Odlomakpopisa"/>
        <w:numPr>
          <w:ilvl w:val="0"/>
          <w:numId w:val="22"/>
        </w:numPr>
        <w:spacing w:line="276" w:lineRule="auto"/>
        <w:jc w:val="both"/>
        <w:rPr>
          <w:sz w:val="22"/>
          <w:szCs w:val="18"/>
        </w:rPr>
      </w:pPr>
      <w:r w:rsidRPr="00622E3F">
        <w:rPr>
          <w:sz w:val="22"/>
          <w:szCs w:val="18"/>
        </w:rPr>
        <w:t>kreira izradu planova i programa iz područja prostornog uređenja, prati propise iz područja prostornog uređenja, koordinira rad u izradi izvješća o stanju u prostoru, nadzire poslove izrade i provedbe prostornih planova, radi na ishođenju lokacijskih i građevinskih dozvola za investicije koje se financiraju iz Proračuna Grada.</w:t>
      </w:r>
    </w:p>
    <w:p w14:paraId="50BEF75D" w14:textId="77777777" w:rsidR="005C66A6" w:rsidRPr="005C66A6" w:rsidRDefault="005C66A6" w:rsidP="005C66A6">
      <w:pPr>
        <w:pStyle w:val="Odlomakpopisa"/>
        <w:spacing w:line="276" w:lineRule="auto"/>
        <w:ind w:left="720"/>
        <w:jc w:val="both"/>
        <w:rPr>
          <w:sz w:val="24"/>
        </w:rPr>
      </w:pPr>
    </w:p>
    <w:p w14:paraId="6DE938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30415B0A" w14:textId="55147226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</w:p>
    <w:p w14:paraId="564E5238" w14:textId="05077DE8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7D40C8">
        <w:rPr>
          <w:sz w:val="22"/>
          <w:szCs w:val="22"/>
        </w:rPr>
        <w:t>900</w:t>
      </w:r>
      <w:r w:rsidR="00A96BBE">
        <w:rPr>
          <w:sz w:val="22"/>
          <w:szCs w:val="22"/>
        </w:rPr>
        <w:t>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="005422A2">
        <w:rPr>
          <w:sz w:val="22"/>
          <w:szCs w:val="22"/>
        </w:rPr>
        <w:t xml:space="preserve"> bruto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3</w:t>
      </w:r>
      <w:r w:rsidRPr="00D525F4">
        <w:rPr>
          <w:sz w:val="22"/>
          <w:szCs w:val="22"/>
        </w:rPr>
        <w:t>,</w:t>
      </w:r>
      <w:r w:rsidR="00A96BBE">
        <w:rPr>
          <w:sz w:val="22"/>
          <w:szCs w:val="22"/>
        </w:rPr>
        <w:t>0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15B5020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C1C0F59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lastRenderedPageBreak/>
        <w:t xml:space="preserve">Prethodnoj provjeri znanja kandidata mogu pristupiti samo kandidati koji ispunjavaju formalne uvjete iz javnog natječaja. Prethodna provjera znanja (opći i posebni dio) i sposobnosti kandidata (znanje rada na računalu kroz pisani test) obavlja se putem pisanog testiranja i intervjua. </w:t>
      </w: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raspisan javni natječaj temelje se na sljedećim propisima: </w:t>
      </w:r>
    </w:p>
    <w:p w14:paraId="3C3CBCA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1DC09D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6D730320" w14:textId="1076E7F9" w:rsidR="00D525F4" w:rsidRPr="00D525F4" w:rsidRDefault="00D525F4" w:rsidP="00D525F4">
      <w:pPr>
        <w:numPr>
          <w:ilvl w:val="0"/>
          <w:numId w:val="15"/>
        </w:numPr>
        <w:jc w:val="both"/>
        <w:rPr>
          <w:bCs/>
          <w:iCs/>
          <w:sz w:val="22"/>
          <w:szCs w:val="22"/>
        </w:rPr>
      </w:pPr>
      <w:r w:rsidRPr="00D525F4">
        <w:rPr>
          <w:bCs/>
          <w:iCs/>
          <w:sz w:val="22"/>
          <w:szCs w:val="22"/>
        </w:rPr>
        <w:t xml:space="preserve">Ustav Republike Hrvatske („Narodne novine“ broj 56/90, 135/97, 8/98,  113/00, 124/00, 28/01, 41/01, 55/01, 76/10, 85/10 i </w:t>
      </w:r>
      <w:r w:rsidR="00F22AC7">
        <w:rPr>
          <w:bCs/>
          <w:iCs/>
          <w:sz w:val="22"/>
          <w:szCs w:val="22"/>
        </w:rPr>
        <w:t>0</w:t>
      </w:r>
      <w:r w:rsidRPr="00D525F4">
        <w:rPr>
          <w:bCs/>
          <w:iCs/>
          <w:sz w:val="22"/>
          <w:szCs w:val="22"/>
        </w:rPr>
        <w:t>5/14)</w:t>
      </w:r>
    </w:p>
    <w:p w14:paraId="704BD663" w14:textId="0981EEF4" w:rsidR="00D525F4" w:rsidRPr="00D525F4" w:rsidRDefault="00D525F4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286C91C5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210B81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74966F78" w14:textId="73B5106F" w:rsidR="007D40C8" w:rsidRPr="004764F3" w:rsidRDefault="007D40C8" w:rsidP="007D40C8">
      <w:pPr>
        <w:pStyle w:val="Odlomakpopisa"/>
        <w:numPr>
          <w:ilvl w:val="0"/>
          <w:numId w:val="16"/>
        </w:numPr>
        <w:rPr>
          <w:sz w:val="24"/>
          <w:szCs w:val="22"/>
        </w:rPr>
      </w:pPr>
      <w:r w:rsidRPr="004764F3">
        <w:rPr>
          <w:sz w:val="22"/>
          <w:szCs w:val="22"/>
        </w:rPr>
        <w:t>Zakon o komunalnom gospodarstvu (</w:t>
      </w:r>
      <w:r w:rsidRPr="004764F3">
        <w:rPr>
          <w:bCs/>
          <w:iCs/>
          <w:sz w:val="22"/>
          <w:szCs w:val="22"/>
        </w:rPr>
        <w:t>„Narodne novine“ broj 68/18, 110/18, 32/20</w:t>
      </w:r>
      <w:r w:rsidR="005C66A6">
        <w:rPr>
          <w:bCs/>
          <w:iCs/>
          <w:sz w:val="22"/>
          <w:szCs w:val="22"/>
        </w:rPr>
        <w:t xml:space="preserve">, </w:t>
      </w:r>
      <w:r w:rsidR="005C66A6" w:rsidRPr="005C66A6">
        <w:rPr>
          <w:bCs/>
          <w:iCs/>
          <w:sz w:val="22"/>
          <w:szCs w:val="22"/>
        </w:rPr>
        <w:t>145/24</w:t>
      </w:r>
      <w:r w:rsidRPr="004764F3">
        <w:rPr>
          <w:bCs/>
          <w:iCs/>
          <w:sz w:val="22"/>
          <w:szCs w:val="22"/>
        </w:rPr>
        <w:t>)</w:t>
      </w:r>
    </w:p>
    <w:p w14:paraId="4A3F4F65" w14:textId="45BBB292" w:rsidR="007D40C8" w:rsidRDefault="007D40C8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 w:rsidRPr="004764F3">
        <w:rPr>
          <w:sz w:val="22"/>
          <w:szCs w:val="22"/>
        </w:rPr>
        <w:t>Opći porezni zakon („Narodne novine“ broj  115/16, 106/18, 121/19, 32/20, 42/20, 114/22</w:t>
      </w:r>
      <w:r w:rsidR="005C66A6">
        <w:rPr>
          <w:sz w:val="22"/>
          <w:szCs w:val="22"/>
        </w:rPr>
        <w:t xml:space="preserve">, </w:t>
      </w:r>
      <w:r w:rsidR="005C66A6" w:rsidRPr="005C66A6">
        <w:rPr>
          <w:sz w:val="22"/>
          <w:szCs w:val="22"/>
        </w:rPr>
        <w:t>152/24</w:t>
      </w:r>
      <w:r w:rsidRPr="004764F3">
        <w:rPr>
          <w:sz w:val="22"/>
          <w:szCs w:val="22"/>
        </w:rPr>
        <w:t>)</w:t>
      </w:r>
    </w:p>
    <w:p w14:paraId="2BDE161A" w14:textId="35549CD6" w:rsidR="007D40C8" w:rsidRDefault="007D40C8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gradnji (</w:t>
      </w:r>
      <w:r w:rsidRPr="007D40C8">
        <w:rPr>
          <w:sz w:val="22"/>
          <w:szCs w:val="22"/>
        </w:rPr>
        <w:t>Narodne novine </w:t>
      </w:r>
      <w:hyperlink r:id="rId6" w:tooltip="Zakon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7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20/2017</w:t>
        </w:r>
      </w:hyperlink>
      <w:r w:rsidRPr="007D40C8">
        <w:rPr>
          <w:sz w:val="22"/>
          <w:szCs w:val="22"/>
        </w:rPr>
        <w:t>, </w:t>
      </w:r>
      <w:hyperlink r:id="rId8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9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125/2019</w:t>
        </w:r>
      </w:hyperlink>
      <w:r w:rsidRPr="007D40C8">
        <w:rPr>
          <w:sz w:val="22"/>
          <w:szCs w:val="22"/>
        </w:rPr>
        <w:t>, </w:t>
      </w:r>
      <w:hyperlink r:id="rId10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145/202</w:t>
        </w:r>
      </w:hyperlink>
      <w:r>
        <w:rPr>
          <w:sz w:val="22"/>
          <w:szCs w:val="22"/>
        </w:rPr>
        <w:t>4)</w:t>
      </w:r>
    </w:p>
    <w:p w14:paraId="5FB1C3A5" w14:textId="254C3F2B" w:rsidR="007D40C8" w:rsidRDefault="007D40C8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prostornom uređenju (</w:t>
      </w:r>
      <w:r w:rsidRPr="007D40C8">
        <w:rPr>
          <w:sz w:val="22"/>
          <w:szCs w:val="22"/>
        </w:rPr>
        <w:t> Narodne</w:t>
      </w:r>
      <w:r>
        <w:rPr>
          <w:sz w:val="22"/>
          <w:szCs w:val="22"/>
        </w:rPr>
        <w:t xml:space="preserve"> </w:t>
      </w:r>
      <w:r w:rsidRPr="007D40C8">
        <w:rPr>
          <w:sz w:val="22"/>
          <w:szCs w:val="22"/>
        </w:rPr>
        <w:t>novine </w:t>
      </w:r>
      <w:hyperlink r:id="rId11" w:tooltip="Zakon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12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65/2017</w:t>
        </w:r>
      </w:hyperlink>
      <w:r w:rsidRPr="007D40C8">
        <w:rPr>
          <w:sz w:val="22"/>
          <w:szCs w:val="22"/>
        </w:rPr>
        <w:t>, </w:t>
      </w:r>
      <w:hyperlink r:id="rId13" w:tooltip="Zakon o izmjenama i dopuni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114/2018</w:t>
        </w:r>
      </w:hyperlink>
      <w:r w:rsidRPr="007D40C8">
        <w:rPr>
          <w:sz w:val="22"/>
          <w:szCs w:val="22"/>
        </w:rPr>
        <w:t>, </w:t>
      </w:r>
      <w:hyperlink r:id="rId14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15" w:tooltip="Zakon o izmje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98/2019</w:t>
        </w:r>
      </w:hyperlink>
      <w:r w:rsidRPr="007D40C8">
        <w:rPr>
          <w:sz w:val="22"/>
          <w:szCs w:val="22"/>
        </w:rPr>
        <w:t>, </w:t>
      </w:r>
      <w:hyperlink r:id="rId16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67/2023</w:t>
        </w:r>
      </w:hyperlink>
      <w:r>
        <w:rPr>
          <w:sz w:val="22"/>
          <w:szCs w:val="22"/>
        </w:rPr>
        <w:t>)</w:t>
      </w:r>
    </w:p>
    <w:p w14:paraId="5F89DA3B" w14:textId="5C3BDB44" w:rsidR="007D40C8" w:rsidRDefault="005C66A6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proračunu (</w:t>
      </w:r>
      <w:r w:rsidRPr="005C66A6">
        <w:rPr>
          <w:sz w:val="22"/>
          <w:szCs w:val="22"/>
        </w:rPr>
        <w:t> Narodne novine </w:t>
      </w:r>
      <w:hyperlink r:id="rId17" w:tooltip="Zakon o proračunu" w:history="1">
        <w:r w:rsidRPr="005C66A6">
          <w:rPr>
            <w:rStyle w:val="Hiperveza"/>
            <w:color w:val="auto"/>
            <w:sz w:val="22"/>
            <w:szCs w:val="22"/>
            <w:u w:val="none"/>
          </w:rPr>
          <w:t>144/2021</w:t>
        </w:r>
      </w:hyperlink>
      <w:r>
        <w:rPr>
          <w:sz w:val="22"/>
          <w:szCs w:val="22"/>
        </w:rPr>
        <w:t>)</w:t>
      </w:r>
    </w:p>
    <w:p w14:paraId="5FFA8C09" w14:textId="422CFD74" w:rsidR="005C66A6" w:rsidRPr="005C66A6" w:rsidRDefault="005C66A6" w:rsidP="005C66A6">
      <w:pPr>
        <w:pStyle w:val="Odlomakpopisa"/>
        <w:numPr>
          <w:ilvl w:val="0"/>
          <w:numId w:val="16"/>
        </w:numPr>
        <w:rPr>
          <w:sz w:val="22"/>
          <w:szCs w:val="22"/>
        </w:rPr>
      </w:pPr>
      <w:r w:rsidRPr="005C66A6">
        <w:rPr>
          <w:sz w:val="22"/>
          <w:szCs w:val="22"/>
        </w:rPr>
        <w:t>Zakon o financiranju jedinica lokalne i područne (regionalne) samouprave</w:t>
      </w:r>
      <w:r>
        <w:rPr>
          <w:sz w:val="22"/>
          <w:szCs w:val="22"/>
        </w:rPr>
        <w:t xml:space="preserve"> (</w:t>
      </w:r>
      <w:r w:rsidRPr="005C66A6">
        <w:rPr>
          <w:sz w:val="22"/>
          <w:szCs w:val="22"/>
        </w:rPr>
        <w:t>Narodne novine 127/2017, 138/2020, 151/2022, 114/2023</w:t>
      </w:r>
      <w:r>
        <w:rPr>
          <w:sz w:val="22"/>
          <w:szCs w:val="22"/>
        </w:rPr>
        <w:t>)</w:t>
      </w:r>
    </w:p>
    <w:p w14:paraId="6EBE2EE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111B6C21" w14:textId="1E72882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  <w:r w:rsidR="007A2E0C">
        <w:rPr>
          <w:b/>
          <w:sz w:val="22"/>
          <w:szCs w:val="22"/>
        </w:rPr>
        <w:t xml:space="preserve"> S LISTOM KANDIDATA KOJI ISPUNJAVAJU FORMALNE UVJETE NATJEČAJA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2CA3BF8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sposobnosti – znanje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razgovarati s ostalim kandidatima, niti na bilo koji drugi način remetiti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lastRenderedPageBreak/>
        <w:t>Za svaki dio provjere znanja i sposobnosti dodjeljuje se od 1 do 10 bodova.  Intervju se provodi samo s kandidatima koji su ostvarili najmanje 50% bodova iz provjere znanja i sposobnosti na provedenom testiranju.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04270C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42E59E8" w14:textId="2ACDB544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</w:t>
      </w:r>
      <w:r w:rsidR="00E918AC">
        <w:rPr>
          <w:sz w:val="22"/>
          <w:szCs w:val="22"/>
        </w:rPr>
        <w:t>gradonačelniku</w:t>
      </w:r>
      <w:r w:rsidRPr="00D525F4">
        <w:rPr>
          <w:sz w:val="22"/>
          <w:szCs w:val="22"/>
        </w:rPr>
        <w:t xml:space="preserve">, Izvješće potpisuju svi članovi Povjerenstva. </w:t>
      </w:r>
    </w:p>
    <w:p w14:paraId="213BDEA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10DA013E" w14:textId="123205FD" w:rsidR="00D525F4" w:rsidRPr="00D525F4" w:rsidRDefault="00E918AC" w:rsidP="00D525F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Gradonačelnik</w:t>
      </w:r>
      <w:r w:rsidR="00D525F4" w:rsidRPr="00D525F4">
        <w:rPr>
          <w:sz w:val="22"/>
          <w:szCs w:val="22"/>
        </w:rPr>
        <w:t xml:space="preserve"> donosi rješenje o </w:t>
      </w:r>
      <w:r w:rsidR="00622E3F">
        <w:rPr>
          <w:sz w:val="22"/>
          <w:szCs w:val="22"/>
        </w:rPr>
        <w:t>imenovanju</w:t>
      </w:r>
      <w:r w:rsidR="00D525F4" w:rsidRPr="00D525F4">
        <w:rPr>
          <w:sz w:val="22"/>
          <w:szCs w:val="22"/>
        </w:rPr>
        <w:t xml:space="preserve">, koje će biti dostavljeno svim kandidatima prijavljenim na javni natječaj, a koji su ispunili formalne uvjete natječaja. </w:t>
      </w:r>
    </w:p>
    <w:p w14:paraId="2474ABD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AF1984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natječaja.</w:t>
      </w:r>
    </w:p>
    <w:p w14:paraId="116B734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sectPr w:rsidR="00D525F4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21AA5"/>
    <w:multiLevelType w:val="hybridMultilevel"/>
    <w:tmpl w:val="CEF2D2F2"/>
    <w:lvl w:ilvl="0" w:tplc="1548B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4686">
    <w:abstractNumId w:val="9"/>
  </w:num>
  <w:num w:numId="2" w16cid:durableId="1302807845">
    <w:abstractNumId w:val="2"/>
  </w:num>
  <w:num w:numId="3" w16cid:durableId="992175010">
    <w:abstractNumId w:val="6"/>
  </w:num>
  <w:num w:numId="4" w16cid:durableId="118501258">
    <w:abstractNumId w:val="19"/>
  </w:num>
  <w:num w:numId="5" w16cid:durableId="1108425649">
    <w:abstractNumId w:val="12"/>
  </w:num>
  <w:num w:numId="6" w16cid:durableId="258177465">
    <w:abstractNumId w:val="11"/>
  </w:num>
  <w:num w:numId="7" w16cid:durableId="1232807339">
    <w:abstractNumId w:val="5"/>
  </w:num>
  <w:num w:numId="8" w16cid:durableId="959259992">
    <w:abstractNumId w:val="13"/>
  </w:num>
  <w:num w:numId="9" w16cid:durableId="1618634584">
    <w:abstractNumId w:val="14"/>
  </w:num>
  <w:num w:numId="10" w16cid:durableId="706758070">
    <w:abstractNumId w:val="3"/>
  </w:num>
  <w:num w:numId="11" w16cid:durableId="627706606">
    <w:abstractNumId w:val="7"/>
  </w:num>
  <w:num w:numId="12" w16cid:durableId="68187761">
    <w:abstractNumId w:val="8"/>
  </w:num>
  <w:num w:numId="13" w16cid:durableId="110589931">
    <w:abstractNumId w:val="15"/>
  </w:num>
  <w:num w:numId="14" w16cid:durableId="899679376">
    <w:abstractNumId w:val="16"/>
  </w:num>
  <w:num w:numId="15" w16cid:durableId="1750695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2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4"/>
  </w:num>
  <w:num w:numId="21" w16cid:durableId="60367464">
    <w:abstractNumId w:val="18"/>
  </w:num>
  <w:num w:numId="22" w16cid:durableId="2049839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22AF2"/>
    <w:rsid w:val="00026931"/>
    <w:rsid w:val="00071A49"/>
    <w:rsid w:val="00072846"/>
    <w:rsid w:val="00073BE4"/>
    <w:rsid w:val="000A1B55"/>
    <w:rsid w:val="000C0B17"/>
    <w:rsid w:val="000C22B6"/>
    <w:rsid w:val="000D00CF"/>
    <w:rsid w:val="000D780F"/>
    <w:rsid w:val="000E2E95"/>
    <w:rsid w:val="000F55C0"/>
    <w:rsid w:val="00121990"/>
    <w:rsid w:val="00122366"/>
    <w:rsid w:val="001344FB"/>
    <w:rsid w:val="001522F8"/>
    <w:rsid w:val="00162667"/>
    <w:rsid w:val="00170BE7"/>
    <w:rsid w:val="001A46B2"/>
    <w:rsid w:val="001B792E"/>
    <w:rsid w:val="001D03F8"/>
    <w:rsid w:val="001D5BA7"/>
    <w:rsid w:val="001D664C"/>
    <w:rsid w:val="001D7B45"/>
    <w:rsid w:val="001E15F8"/>
    <w:rsid w:val="001F0EDF"/>
    <w:rsid w:val="00201590"/>
    <w:rsid w:val="00210008"/>
    <w:rsid w:val="0022445A"/>
    <w:rsid w:val="0026265F"/>
    <w:rsid w:val="00270190"/>
    <w:rsid w:val="002712BA"/>
    <w:rsid w:val="00274872"/>
    <w:rsid w:val="00276478"/>
    <w:rsid w:val="002C085F"/>
    <w:rsid w:val="002C3FFE"/>
    <w:rsid w:val="002D010F"/>
    <w:rsid w:val="002E4960"/>
    <w:rsid w:val="002F6BF0"/>
    <w:rsid w:val="003048B4"/>
    <w:rsid w:val="0030757C"/>
    <w:rsid w:val="00310017"/>
    <w:rsid w:val="00324E84"/>
    <w:rsid w:val="00331EEB"/>
    <w:rsid w:val="00332F7E"/>
    <w:rsid w:val="00345C89"/>
    <w:rsid w:val="0034756E"/>
    <w:rsid w:val="00357D66"/>
    <w:rsid w:val="00373F43"/>
    <w:rsid w:val="00385601"/>
    <w:rsid w:val="003A2D36"/>
    <w:rsid w:val="003A737C"/>
    <w:rsid w:val="003B6CC0"/>
    <w:rsid w:val="003B705D"/>
    <w:rsid w:val="003F06DF"/>
    <w:rsid w:val="003F5BE8"/>
    <w:rsid w:val="00404E56"/>
    <w:rsid w:val="00407E39"/>
    <w:rsid w:val="00411779"/>
    <w:rsid w:val="00437552"/>
    <w:rsid w:val="0044504D"/>
    <w:rsid w:val="004478D5"/>
    <w:rsid w:val="00452BDB"/>
    <w:rsid w:val="00454FBE"/>
    <w:rsid w:val="00466112"/>
    <w:rsid w:val="0047633C"/>
    <w:rsid w:val="0047743F"/>
    <w:rsid w:val="0048156B"/>
    <w:rsid w:val="0048365F"/>
    <w:rsid w:val="0049453B"/>
    <w:rsid w:val="004B120B"/>
    <w:rsid w:val="004C40E3"/>
    <w:rsid w:val="004C736C"/>
    <w:rsid w:val="004D291F"/>
    <w:rsid w:val="004F6D7F"/>
    <w:rsid w:val="00505D8A"/>
    <w:rsid w:val="00526416"/>
    <w:rsid w:val="005422A2"/>
    <w:rsid w:val="00542E97"/>
    <w:rsid w:val="005601E7"/>
    <w:rsid w:val="005721F8"/>
    <w:rsid w:val="005748DD"/>
    <w:rsid w:val="005914F4"/>
    <w:rsid w:val="00592D1C"/>
    <w:rsid w:val="005A7728"/>
    <w:rsid w:val="005C548A"/>
    <w:rsid w:val="005C66A6"/>
    <w:rsid w:val="006114C4"/>
    <w:rsid w:val="00616498"/>
    <w:rsid w:val="00622E3F"/>
    <w:rsid w:val="00633710"/>
    <w:rsid w:val="00656EC3"/>
    <w:rsid w:val="00660029"/>
    <w:rsid w:val="00664E51"/>
    <w:rsid w:val="00666709"/>
    <w:rsid w:val="0069501D"/>
    <w:rsid w:val="006A0B13"/>
    <w:rsid w:val="006A3F11"/>
    <w:rsid w:val="006A4770"/>
    <w:rsid w:val="006A6B2B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A2E0C"/>
    <w:rsid w:val="007B4A4B"/>
    <w:rsid w:val="007D40C8"/>
    <w:rsid w:val="007D5064"/>
    <w:rsid w:val="007D7500"/>
    <w:rsid w:val="007F0A4E"/>
    <w:rsid w:val="00802EEB"/>
    <w:rsid w:val="00805EE0"/>
    <w:rsid w:val="008313E0"/>
    <w:rsid w:val="008662BD"/>
    <w:rsid w:val="0087754E"/>
    <w:rsid w:val="00886069"/>
    <w:rsid w:val="00892197"/>
    <w:rsid w:val="0089448A"/>
    <w:rsid w:val="008A0A52"/>
    <w:rsid w:val="008B05C7"/>
    <w:rsid w:val="008C14A9"/>
    <w:rsid w:val="008C76DE"/>
    <w:rsid w:val="008D2615"/>
    <w:rsid w:val="008D32D2"/>
    <w:rsid w:val="008E053B"/>
    <w:rsid w:val="008E4685"/>
    <w:rsid w:val="008E7FF7"/>
    <w:rsid w:val="009119E1"/>
    <w:rsid w:val="0093601A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518F2"/>
    <w:rsid w:val="00A53AFD"/>
    <w:rsid w:val="00A858F0"/>
    <w:rsid w:val="00A859B9"/>
    <w:rsid w:val="00A869B5"/>
    <w:rsid w:val="00A96BBE"/>
    <w:rsid w:val="00A977E5"/>
    <w:rsid w:val="00AA3784"/>
    <w:rsid w:val="00AA4C89"/>
    <w:rsid w:val="00AB29D2"/>
    <w:rsid w:val="00AC743C"/>
    <w:rsid w:val="00AD0E9A"/>
    <w:rsid w:val="00AF2015"/>
    <w:rsid w:val="00AF228D"/>
    <w:rsid w:val="00AF6CB4"/>
    <w:rsid w:val="00B06ADA"/>
    <w:rsid w:val="00B40946"/>
    <w:rsid w:val="00B62021"/>
    <w:rsid w:val="00B74A93"/>
    <w:rsid w:val="00B8175F"/>
    <w:rsid w:val="00B85F1B"/>
    <w:rsid w:val="00BA6788"/>
    <w:rsid w:val="00BE5ADD"/>
    <w:rsid w:val="00C06C43"/>
    <w:rsid w:val="00C150FA"/>
    <w:rsid w:val="00C16281"/>
    <w:rsid w:val="00C53166"/>
    <w:rsid w:val="00C64127"/>
    <w:rsid w:val="00C73976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17985"/>
    <w:rsid w:val="00D525F4"/>
    <w:rsid w:val="00D56320"/>
    <w:rsid w:val="00D8114A"/>
    <w:rsid w:val="00D92AF2"/>
    <w:rsid w:val="00D93D8B"/>
    <w:rsid w:val="00E00178"/>
    <w:rsid w:val="00E03DD7"/>
    <w:rsid w:val="00E44849"/>
    <w:rsid w:val="00E47630"/>
    <w:rsid w:val="00E47A0A"/>
    <w:rsid w:val="00E5318C"/>
    <w:rsid w:val="00E71A8E"/>
    <w:rsid w:val="00E844D7"/>
    <w:rsid w:val="00E918AC"/>
    <w:rsid w:val="00EA3646"/>
    <w:rsid w:val="00EC0BD0"/>
    <w:rsid w:val="00ED03A1"/>
    <w:rsid w:val="00ED7E29"/>
    <w:rsid w:val="00F10DB8"/>
    <w:rsid w:val="00F219F5"/>
    <w:rsid w:val="00F22AC7"/>
    <w:rsid w:val="00F26CA1"/>
    <w:rsid w:val="00F3545E"/>
    <w:rsid w:val="00F877CA"/>
    <w:rsid w:val="00F906E7"/>
    <w:rsid w:val="00F9151A"/>
    <w:rsid w:val="00F919CD"/>
    <w:rsid w:val="00FE038D"/>
    <w:rsid w:val="00FF56A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315778" TargetMode="External"/><Relationship Id="rId13" Type="http://schemas.openxmlformats.org/officeDocument/2006/relationships/hyperlink" Target="https://informator.hr/nnsl/30003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rmator.hr/nnsl/263684" TargetMode="External"/><Relationship Id="rId12" Type="http://schemas.openxmlformats.org/officeDocument/2006/relationships/hyperlink" Target="https://informator.hr/nnsl/264764" TargetMode="External"/><Relationship Id="rId17" Type="http://schemas.openxmlformats.org/officeDocument/2006/relationships/hyperlink" Target="https://informator.hr/nnsl/4936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rmator.hr/nnsl/6102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rmator.hr/nnsl/6714" TargetMode="External"/><Relationship Id="rId11" Type="http://schemas.openxmlformats.org/officeDocument/2006/relationships/hyperlink" Target="https://informator.hr/nnsl/185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rmator.hr/nnsl/332101" TargetMode="External"/><Relationship Id="rId10" Type="http://schemas.openxmlformats.org/officeDocument/2006/relationships/hyperlink" Target="https://informator.hr/nnsl/6942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rmator.hr/nnsl/336972" TargetMode="External"/><Relationship Id="rId14" Type="http://schemas.openxmlformats.org/officeDocument/2006/relationships/hyperlink" Target="https://informator.hr/nnsl/31577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Jurić</cp:lastModifiedBy>
  <cp:revision>8</cp:revision>
  <cp:lastPrinted>2022-07-27T08:56:00Z</cp:lastPrinted>
  <dcterms:created xsi:type="dcterms:W3CDTF">2025-01-21T10:48:00Z</dcterms:created>
  <dcterms:modified xsi:type="dcterms:W3CDTF">2025-01-24T13:40:00Z</dcterms:modified>
</cp:coreProperties>
</file>